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10"/>
        <w:tblW w:w="10186" w:type="dxa"/>
        <w:jc w:val="left"/>
        <w:tblInd w:w="4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186"/>
      </w:tblGrid>
      <w:tr>
        <w:trPr/>
        <w:tc>
          <w:tcPr>
            <w:tcW w:w="1018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22"/>
                <w:szCs w:val="20"/>
                <w:lang w:val="ru-RU" w:eastAsia="ru-RU" w:bidi="ar-SA"/>
              </w:rPr>
              <w:t xml:space="preserve">Утв. приказом Минфина РФ </w:t>
              <w:br/>
              <w:t xml:space="preserve">от 28 декабря 2010 г. № 191н </w:t>
              <w:br/>
            </w:r>
            <w:r>
              <w:rPr>
                <w:rFonts w:eastAsia="Times New Roman" w:cs="Calibri" w:ascii="Times New Roman" w:hAnsi="Times New Roman"/>
                <w:i/>
                <w:kern w:val="0"/>
                <w:sz w:val="22"/>
                <w:szCs w:val="20"/>
                <w:lang w:val="ru-RU" w:eastAsia="ru-RU" w:bidi="ar-SA"/>
              </w:rPr>
              <w:t>(в ред. от 16 ноября 2016 г.)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4"/>
        </w:rPr>
      </w:pPr>
      <w:r>
        <w:rPr>
          <w:rFonts w:eastAsia="Times New Roman" w:ascii="Times New Roman" w:hAnsi="Times New Roman"/>
          <w:vanish/>
          <w:sz w:val="24"/>
        </w:rPr>
        <w:t> </w:t>
      </w:r>
    </w:p>
    <w:tbl>
      <w:tblPr>
        <w:tblStyle w:val="10"/>
        <w:tblW w:w="9580" w:type="dxa"/>
        <w:jc w:val="left"/>
        <w:tblInd w:w="2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820"/>
        <w:gridCol w:w="333"/>
        <w:gridCol w:w="1128"/>
        <w:gridCol w:w="1298"/>
      </w:tblGrid>
      <w:tr>
        <w:trPr>
          <w:trHeight w:val="270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val="ru-RU" w:eastAsia="ru-RU" w:bidi="ar-SA"/>
              </w:rPr>
              <w:t>ПОЯСНИТЕЛЬНАЯ ЗАПИСКА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КОДЫ</w:t>
            </w:r>
          </w:p>
        </w:tc>
      </w:tr>
      <w:tr>
        <w:trPr>
          <w:trHeight w:val="282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461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Форма по ОКУД</w:t>
            </w:r>
          </w:p>
        </w:tc>
        <w:tc>
          <w:tcPr>
            <w:tcW w:w="12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0503160</w:t>
            </w:r>
          </w:p>
        </w:tc>
      </w:tr>
      <w:tr>
        <w:trPr>
          <w:trHeight w:val="282" w:hRule="atLeast"/>
        </w:trPr>
        <w:tc>
          <w:tcPr>
            <w:tcW w:w="7153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 xml:space="preserve">                          </w:t>
            </w: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на   1 января 2026 г.</w:t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 </w:t>
            </w: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Дата</w:t>
            </w:r>
          </w:p>
        </w:tc>
        <w:tc>
          <w:tcPr>
            <w:tcW w:w="12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01.01.2026</w:t>
            </w:r>
          </w:p>
        </w:tc>
      </w:tr>
      <w:tr>
        <w:trPr>
          <w:trHeight w:val="300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Главный распорядитель, распорядитель,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</w:tr>
      <w:tr>
        <w:trPr>
          <w:trHeight w:val="195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lineRule="atLeast" w:line="195"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получатель бюджетных средств, главный администратор,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2"/>
              </w:rPr>
            </w:r>
          </w:p>
        </w:tc>
      </w:tr>
      <w:tr>
        <w:trPr>
          <w:trHeight w:val="195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lineRule="atLeast" w:line="195"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администратор доходов бюджета,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lineRule="atLeast" w:line="195" w:before="0" w:after="0"/>
              <w:jc w:val="righ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по ОКПО</w:t>
            </w:r>
          </w:p>
        </w:tc>
        <w:tc>
          <w:tcPr>
            <w:tcW w:w="1298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eastAsia="Calibri" w:cs="Calibri"/>
                <w:kern w:val="0"/>
                <w:sz w:val="20"/>
                <w:szCs w:val="20"/>
                <w:lang w:val="ru-RU" w:eastAsia="ru-RU" w:bidi="ar-SA"/>
              </w:rPr>
              <w:t>34658805</w:t>
            </w:r>
          </w:p>
        </w:tc>
      </w:tr>
      <w:tr>
        <w:trPr>
          <w:trHeight w:val="195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lineRule="atLeast" w:line="195"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главный администратор, администратор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sz w:val="22"/>
              </w:rPr>
            </w:r>
          </w:p>
        </w:tc>
      </w:tr>
      <w:tr>
        <w:trPr>
          <w:trHeight w:val="195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lineRule="atLeast" w:line="195"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администратор источников финансирования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7153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 xml:space="preserve">дефицита бюджета </w:t>
            </w: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u w:val="single"/>
                <w:lang w:val="ru-RU" w:eastAsia="ru-RU" w:bidi="ar-SA"/>
              </w:rPr>
              <w:t>Государственное казенное учреждение социального обслуживания Псковской области "Центр социального обслуживания Новосокольнического района"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ascii="Times New Roman" w:hAnsi="Times New Roman"/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Глава по БК</w:t>
            </w:r>
          </w:p>
        </w:tc>
        <w:tc>
          <w:tcPr>
            <w:tcW w:w="12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eastAsia="Calibri" w:cs="Calibri"/>
                <w:kern w:val="0"/>
                <w:sz w:val="20"/>
                <w:szCs w:val="20"/>
                <w:lang w:val="ru-RU" w:eastAsia="ru-RU" w:bidi="ar-SA"/>
              </w:rPr>
              <w:t>805</w:t>
            </w:r>
          </w:p>
        </w:tc>
      </w:tr>
      <w:tr>
        <w:trPr>
          <w:trHeight w:val="280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Наименование бюджета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sz w:val="22"/>
              </w:rPr>
            </w:r>
          </w:p>
        </w:tc>
      </w:tr>
      <w:tr>
        <w:trPr>
          <w:trHeight w:val="210" w:hRule="atLeast"/>
        </w:trPr>
        <w:tc>
          <w:tcPr>
            <w:tcW w:w="7153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 xml:space="preserve">(публично-правового образования) </w:t>
            </w: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u w:val="single"/>
                <w:lang w:val="ru-RU" w:eastAsia="ru-RU" w:bidi="ar-SA"/>
              </w:rPr>
              <w:t>Бюджет субъекта РФ</w:t>
            </w:r>
          </w:p>
          <w:p>
            <w:pPr>
              <w:pStyle w:val="Normal"/>
              <w:widowControl w:val="false"/>
              <w:suppressAutoHyphens w:val="true"/>
              <w:spacing w:lineRule="atLeast" w:line="210"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ascii="Times New Roman" w:hAnsi="Times New Roman"/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lineRule="atLeast" w:line="210" w:before="0" w:after="0"/>
              <w:jc w:val="righ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по ОКТМО</w:t>
            </w:r>
          </w:p>
        </w:tc>
        <w:tc>
          <w:tcPr>
            <w:tcW w:w="1298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lineRule="atLeast" w:line="210" w:before="0" w:after="0"/>
              <w:jc w:val="center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58626101</w:t>
            </w:r>
          </w:p>
        </w:tc>
      </w:tr>
      <w:tr>
        <w:trPr>
          <w:trHeight w:val="315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Периодичность:    месячная, квартальная, годовая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</w:tr>
      <w:tr>
        <w:trPr>
          <w:trHeight w:val="282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Единица измерения: руб.</w:t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Autospacing="1" w:after="0"/>
              <w:jc w:val="righ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 xml:space="preserve">    </w:t>
            </w: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по ОКЕИ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eastAsia="Times New Roman" w:cs="Calibri" w:ascii="Times New Roman" w:hAnsi="Times New Roman"/>
                <w:kern w:val="0"/>
                <w:sz w:val="18"/>
                <w:szCs w:val="20"/>
                <w:lang w:val="ru-RU" w:eastAsia="ru-RU" w:bidi="ar-SA"/>
              </w:rPr>
              <w:t>383</w:t>
            </w:r>
          </w:p>
        </w:tc>
      </w:tr>
      <w:tr>
        <w:trPr>
          <w:trHeight w:val="282" w:hRule="atLeast"/>
        </w:trPr>
        <w:tc>
          <w:tcPr>
            <w:tcW w:w="68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3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12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  <w:tc>
          <w:tcPr>
            <w:tcW w:w="129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</w:tr>
      <w:tr>
        <w:trPr>
          <w:trHeight w:val="282" w:hRule="atLeast"/>
        </w:trPr>
        <w:tc>
          <w:tcPr>
            <w:tcW w:w="9579" w:type="dxa"/>
            <w:gridSpan w:val="4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spacing w:before="0" w:after="0"/>
        <w:ind w:left="0" w:right="0" w:hanging="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Раздел 1. Организационная структура</w:t>
      </w:r>
    </w:p>
    <w:p>
      <w:pPr>
        <w:pStyle w:val="Normal"/>
        <w:spacing w:before="0" w:after="0"/>
        <w:ind w:left="0" w:right="0" w:hanging="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Годовая бюджетная отчетность за  2025 год составлена в соответствии с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 декабря 2010 года №191н (с изменениями).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 xml:space="preserve">Порядок составления и сроки представления отчетности об исполнении областного бюджета утверждены приказом Министерства финансов  Псковской области №139 от 25.12.2025г., а также приказом Министерства социальной защиты  Псковской области от 30.12.2024 №128-оп. 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2"/>
          <w:szCs w:val="22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Государственное казенное учреждение социального обслуживания Псковской области «Центр социального обслуживания Новосокольнического района» (сокращенно : ГКУСО «Центр социального обслуживания Новосокольнического района») является правопреемником муниципального учреждения «Центр социального обслуживания населения Новосокольнического района», созданного на основании распоряжения Администрации Новосокольнического района от 24.12.1993 года №763. В единый государственный реестр юридических лиц внесена запись о юридическом лице за основным государственным регистрационным номером 1026001544470.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 xml:space="preserve">В 2011 году , в соответствии с распоряжением Администрации области от 08.06.2011 №138-р «О создании государственных казенных учреждений социального обслуживания Псковской области путем изменения типа государственных учреждений социального обслуживания Псковской области» и на основании приказа Главного государственного управления социальной защиты населения Псковской области от 28.06.2011 №180, государственное учреждение социального обслуживания «Центр социального обслуживания» Новосокольнического района было переименовано в Государственное казенное учреждение социального обслуживания Псковской области «Центр социального обслуживания Новосокольнического района». 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В соответствии с Распоряжением Администрации Псковской области от 12.01.2015г. №10-р «О реорганизации государственного казенного учреждения социального обслуживания Псковской области «Центр социального обслуживания Новосокольнического района» произошла реорганизация в форме присоединения государственного казенного учреждения социального обслуживания Псковской области «Социально-реабилитационный центр для несовершеннолетних Новосокольнического района».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2"/>
          <w:szCs w:val="22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Деятельность учреждения направлена на предоставление социальных услуг в соответствии с перечнем гарантированных социальных услуг, предоставляемых гражданам, на проведение социальных , профилактических и иных мероприятий, предоставление мер социальной поддержки отдельным категориям граждан. Основной вид деятельности по ОКВЭД – 88.10. Кроме того, оказываются услуги по социальной реабилитации несовершеннолетних.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 xml:space="preserve">  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По состоянию на 01.01.2026 года количество штатных единиц по учреждению составило 74,5. Фактическая численность работников - 72 человека. </w:t>
      </w:r>
    </w:p>
    <w:p>
      <w:pPr>
        <w:pStyle w:val="Normal"/>
        <w:spacing w:before="0" w:after="0"/>
        <w:ind w:left="0" w:right="0" w:hanging="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Раздел 2. Результаты деятельности</w:t>
      </w:r>
    </w:p>
    <w:p>
      <w:pPr>
        <w:pStyle w:val="Normal"/>
        <w:spacing w:before="0" w:after="0"/>
        <w:ind w:left="0" w:right="0" w:hanging="0"/>
        <w:jc w:val="center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2"/>
          <w:szCs w:val="22"/>
        </w:rPr>
        <w:t> </w:t>
      </w:r>
    </w:p>
    <w:p>
      <w:pPr>
        <w:pStyle w:val="Normal"/>
        <w:spacing w:before="0" w:after="0"/>
        <w:ind w:left="0" w:right="0" w:hanging="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          </w:t>
      </w:r>
      <w:r>
        <w:rPr>
          <w:rFonts w:eastAsia="Calibri" w:cs="Calibri"/>
          <w:b w:val="false"/>
          <w:i w:val="false"/>
          <w:color w:val="000000"/>
          <w:sz w:val="28"/>
          <w:szCs w:val="28"/>
        </w:rPr>
        <w:t>Государственное задание на 2025 год – обслужить на дому социальными работниками 279 человек и 72 человека - участковыми социальными работниками. Фактически количество граждан, получивших социальные услуги в форме социального обслуживания на дому на конец года составило 380 человека, количество оказанных социальных услуг – 49936 ед. Количество граждан пожилого возраста, кому мобильными бригадами и социальными работниками были доставлены лекарства на дом, составило 1641 человек. В полустационарной форме ежедневно предоставлялись услуги 24 семьям с детьми. Оказываются услуги и в стационарной форме социального обслуживания. Норма обслуживания - 15 человек. Фактически за 2025 год в службе социальной реабилитации несовершеннолетних в среднем было занято  16,4  койко-мест.</w:t>
      </w:r>
    </w:p>
    <w:p>
      <w:pPr>
        <w:pStyle w:val="Normal"/>
        <w:spacing w:before="0" w:after="0"/>
        <w:ind w:left="0" w:right="0" w:hanging="0"/>
        <w:jc w:val="both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          </w:t>
      </w:r>
      <w:r>
        <w:rPr>
          <w:rFonts w:eastAsia="Calibri" w:cs="Calibri"/>
          <w:b w:val="false"/>
          <w:i w:val="false"/>
          <w:color w:val="000000"/>
          <w:sz w:val="28"/>
          <w:szCs w:val="28"/>
        </w:rPr>
        <w:t xml:space="preserve"> </w:t>
      </w:r>
    </w:p>
    <w:p>
      <w:pPr>
        <w:pStyle w:val="Normal"/>
        <w:spacing w:before="0" w:after="0"/>
        <w:ind w:left="0" w:right="0" w:hanging="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Раздел 3. Анализ отчета об исполнении областного бюджета</w:t>
      </w:r>
    </w:p>
    <w:p>
      <w:pPr>
        <w:pStyle w:val="Normal"/>
        <w:spacing w:before="0" w:after="0"/>
        <w:ind w:left="0" w:right="0" w:hanging="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Областной бюджет на 2025 год утвержден Законом Псковской области от 24.12.2024 N 2444-ОЗ "Об областном бюджете на 2025 год и на плановый период 2026 и 2027 годов". Доходная часть составила 864308,26 руб. Это средства, полученные от оказания платных социальных услуг населению.  Результат исполнения бюджета по расходам – 99,7%.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2"/>
          <w:szCs w:val="22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2"/>
          <w:szCs w:val="22"/>
        </w:rPr>
        <w:t> </w:t>
      </w:r>
    </w:p>
    <w:p>
      <w:pPr>
        <w:pStyle w:val="Normal"/>
        <w:spacing w:before="0" w:after="0"/>
        <w:ind w:left="0" w:right="0" w:firstLine="72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Раздел 4.  Анализ показателей финансовой отчетности областного бюджета</w:t>
      </w:r>
    </w:p>
    <w:p>
      <w:pPr>
        <w:pStyle w:val="Normal"/>
        <w:spacing w:before="0" w:after="0"/>
        <w:ind w:left="0" w:right="0" w:firstLine="72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Сведения о движении нефинансовых активов приведены в форме 0503168.   Балансовая стоимость основных средств увеличилась по сравнению с началом года на 10,9%, а материальных запасов – на 3,9%.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2"/>
          <w:szCs w:val="22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Сведения по счетам учета дебиторской и кредиторской задолженности  приведены в форме № 0503169.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 </w:t>
      </w:r>
    </w:p>
    <w:tbl>
      <w:tblPr>
        <w:tblW w:w="9802" w:type="dxa"/>
        <w:jc w:val="left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2"/>
        <w:gridCol w:w="1535"/>
        <w:gridCol w:w="1587"/>
        <w:gridCol w:w="1464"/>
        <w:gridCol w:w="1936"/>
        <w:gridCol w:w="1517"/>
      </w:tblGrid>
      <w:tr>
        <w:trPr/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На начало  отчетного года        (в рублях, коп.)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На конец отчетного года</w:t>
            </w: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Отклонения (+.-)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18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Причины увеличения просроченной задолженности</w:t>
            </w:r>
          </w:p>
        </w:tc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Принимаемые меры по снижению просроченной задолженности</w:t>
            </w:r>
          </w:p>
        </w:tc>
      </w:tr>
      <w:tr>
        <w:trPr/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Общая сумма дебиторской задолженности</w:t>
            </w: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291818,12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250000,00</w:t>
            </w: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-41818,12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/>
                <w:color w:val="000000"/>
                <w:sz w:val="22"/>
                <w:szCs w:val="22"/>
              </w:rPr>
              <w:t>в том числе просроченная дебиторская задолженность</w:t>
            </w: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40" w:right="0" w:firstLine="4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Отношение просроченной дебиторской задолженности к общему объему дебиторской задолженности</w:t>
            </w: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86" w:hRule="atLeast"/>
        </w:trPr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Общая сумма кредиторской задолженности</w:t>
            </w:r>
          </w:p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1762502,37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1467749,59</w:t>
            </w: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-294752,78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1411" w:hRule="atLeast"/>
        </w:trPr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/>
                <w:color w:val="000000"/>
                <w:sz w:val="22"/>
                <w:szCs w:val="22"/>
              </w:rPr>
              <w:t>в том числе просроченная кредиторская задолженность</w:t>
            </w: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Отношение просроченной кредиторской  задолженности к общему объему кредиторской задолженности</w:t>
            </w: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eastAsia="Calibri" w:cs="Calibri"/>
                <w:b w:val="false"/>
                <w:i w:val="false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 xml:space="preserve">Основную кредиторскую задолженность составляют расчеты по заработной плате и страховым взносам за декабрь 2025г. 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 xml:space="preserve">Сведения об остатках денежных средств во временном распоряжении средств на 1 января 2026 года приведены в форме 0503178. Имеется остаток средств в размере 28795,62 руб. Денежные средства поступили в качестве обеспечения исполнения контрактов. 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 </w:t>
      </w:r>
    </w:p>
    <w:p>
      <w:pPr>
        <w:pStyle w:val="Normal"/>
        <w:spacing w:before="0" w:after="0"/>
        <w:ind w:left="0" w:right="0" w:firstLine="70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 xml:space="preserve">Раздел 5.  Прочие вопросы деятельности </w:t>
      </w:r>
    </w:p>
    <w:p>
      <w:pPr>
        <w:pStyle w:val="Normal"/>
        <w:spacing w:before="0" w:after="0"/>
        <w:ind w:left="0" w:right="0" w:firstLine="700"/>
        <w:jc w:val="center"/>
        <w:rPr>
          <w:color w:val="000000"/>
        </w:rPr>
      </w:pPr>
      <w:r>
        <w:rPr>
          <w:rFonts w:eastAsia="Calibri" w:cs="Calibri"/>
          <w:b/>
          <w:i w:val="false"/>
          <w:color w:val="000000"/>
          <w:sz w:val="28"/>
          <w:szCs w:val="28"/>
        </w:rPr>
        <w:t> 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Бюджетный учет в 2025 году осуществлялся в соответствии с Единым планом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Инструкцией по его применению, утвержденным приказом Министерства финансов России от  01 декабря 2010 года № 157н.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В ГКУСО «Центр социального обслуживания Новосокольнического района» в 2025 году для ведения бухгалтерского учета использовался программный продукт «1С: Предприятие 8.3».</w:t>
      </w:r>
    </w:p>
    <w:p>
      <w:pPr>
        <w:pStyle w:val="Normal"/>
        <w:spacing w:before="0" w:after="0"/>
        <w:ind w:left="0" w:right="0" w:firstLine="700"/>
        <w:jc w:val="both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8"/>
          <w:szCs w:val="28"/>
        </w:rPr>
        <w:t>По состоянию на 01.12.2025г. проведена инвентаризация активов и обязательств. Расхождений с данными бухгалтерского учета не обнаружено.</w:t>
      </w:r>
    </w:p>
    <w:p>
      <w:pPr>
        <w:pStyle w:val="Normal"/>
        <w:spacing w:before="0" w:after="0"/>
        <w:ind w:left="0" w:right="0" w:hanging="0"/>
        <w:jc w:val="left"/>
        <w:rPr>
          <w:color w:val="000000"/>
        </w:rPr>
      </w:pPr>
      <w:r>
        <w:rPr>
          <w:rFonts w:eastAsia="Calibri" w:cs="Calibri"/>
          <w:b w:val="false"/>
          <w:i w:val="false"/>
          <w:color w:val="000000"/>
          <w:sz w:val="22"/>
          <w:szCs w:val="22"/>
        </w:rPr>
        <w:t> </w:t>
      </w:r>
    </w:p>
    <w:p>
      <w:pPr>
        <w:pStyle w:val="Normal"/>
        <w:spacing w:before="0" w:after="0"/>
        <w:ind w:left="0" w:right="0" w:hanging="0"/>
        <w:rPr/>
      </w:pPr>
      <w:r>
        <w:rPr/>
        <w:t> </w:t>
      </w:r>
    </w:p>
    <w:p>
      <w:pPr>
        <w:pStyle w:val="Normal"/>
        <w:spacing w:before="0" w:after="0"/>
        <w:ind w:left="0" w:right="0" w:hanging="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 </w:t>
      </w:r>
    </w:p>
    <w:tbl>
      <w:tblPr>
        <w:tblW w:w="9471" w:type="dxa"/>
        <w:jc w:val="left"/>
        <w:tblInd w:w="20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4"/>
        <w:gridCol w:w="4539"/>
        <w:gridCol w:w="1498"/>
      </w:tblGrid>
      <w:tr>
        <w:trPr/>
        <w:tc>
          <w:tcPr>
            <w:tcW w:w="34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53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/>
              <w:drawing>
                <wp:inline distT="0" distB="0" distL="0" distR="0">
                  <wp:extent cx="2857500" cy="952500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u w:val="single"/>
              </w:rPr>
              <w:t>С.И.Ефименко</w:t>
            </w:r>
          </w:p>
        </w:tc>
      </w:tr>
      <w:tr>
        <w:trPr>
          <w:trHeight w:val="280" w:hRule="atLeast"/>
        </w:trPr>
        <w:tc>
          <w:tcPr>
            <w:tcW w:w="3434" w:type="dxa"/>
            <w:tcBorders/>
            <w:vAlign w:val="bottom"/>
          </w:tcPr>
          <w:p>
            <w:pPr>
              <w:pStyle w:val="Normal"/>
              <w:widowControl w:val="false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53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149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  <w:tr>
        <w:trPr>
          <w:trHeight w:val="281" w:hRule="atLeast"/>
        </w:trPr>
        <w:tc>
          <w:tcPr>
            <w:tcW w:w="9471" w:type="dxa"/>
            <w:gridSpan w:val="3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281" w:hRule="atLeast"/>
        </w:trPr>
        <w:tc>
          <w:tcPr>
            <w:tcW w:w="34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Руководитель планово-</w:t>
            </w:r>
          </w:p>
        </w:tc>
        <w:tc>
          <w:tcPr>
            <w:tcW w:w="4539" w:type="dxa"/>
            <w:tcBorders/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498" w:type="dxa"/>
            <w:tcBorders/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81" w:hRule="atLeast"/>
        </w:trPr>
        <w:tc>
          <w:tcPr>
            <w:tcW w:w="34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экономической службы</w:t>
            </w:r>
          </w:p>
        </w:tc>
        <w:tc>
          <w:tcPr>
            <w:tcW w:w="453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149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  <w:tr>
        <w:trPr>
          <w:trHeight w:val="281" w:hRule="exact"/>
        </w:trPr>
        <w:tc>
          <w:tcPr>
            <w:tcW w:w="9471" w:type="dxa"/>
            <w:gridSpan w:val="3"/>
            <w:tcBorders/>
            <w:vAlign w:val="bottom"/>
          </w:tcPr>
          <w:p>
            <w:pPr>
              <w:pStyle w:val="Normal"/>
              <w:widowControl w:val="false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81" w:hRule="atLeast"/>
        </w:trPr>
        <w:tc>
          <w:tcPr>
            <w:tcW w:w="34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Главный</w:t>
            </w:r>
          </w:p>
        </w:tc>
        <w:tc>
          <w:tcPr>
            <w:tcW w:w="453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/>
              <w:drawing>
                <wp:inline distT="0" distB="0" distL="0" distR="0">
                  <wp:extent cx="2857500" cy="952500"/>
                  <wp:effectExtent l="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8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u w:val="single"/>
              </w:rPr>
              <w:t>Н.А.Сапегина</w:t>
            </w:r>
          </w:p>
        </w:tc>
      </w:tr>
      <w:tr>
        <w:trPr>
          <w:trHeight w:val="281" w:hRule="atLeast"/>
        </w:trPr>
        <w:tc>
          <w:tcPr>
            <w:tcW w:w="34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бухгалтер</w:t>
            </w:r>
          </w:p>
        </w:tc>
        <w:tc>
          <w:tcPr>
            <w:tcW w:w="453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149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  <w:tr>
        <w:trPr>
          <w:trHeight w:val="449" w:hRule="atLeast"/>
        </w:trPr>
        <w:tc>
          <w:tcPr>
            <w:tcW w:w="34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"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" 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января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20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4539" w:type="dxa"/>
            <w:tcBorders/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498" w:type="dxa"/>
            <w:tcBorders/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 w:eastAsia="Times New Roman"/>
          <w:b/>
          <w:b/>
          <w:color w:val="000000"/>
          <w:sz w:val="28"/>
        </w:rPr>
      </w:pPr>
      <w:r>
        <w:rPr/>
      </w:r>
    </w:p>
    <w:sectPr>
      <w:type w:val="nextPage"/>
      <w:pgSz w:w="12240" w:h="15840"/>
      <w:pgMar w:left="1700" w:right="850" w:gutter="0" w:header="0" w:top="1133" w:footer="0" w:bottom="113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embedSystem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9" w:qFormat="1"/>
    <w:lsdException w:name="footnote text" w:uiPriority="9" w:qFormat="1"/>
    <w:lsdException w:name="annotation text" w:uiPriority="9" w:qFormat="1"/>
    <w:lsdException w:name="header" w:uiPriority="9" w:qFormat="1"/>
    <w:lsdException w:name="footer" w:uiPriority="9" w:qFormat="1"/>
    <w:lsdException w:name="index heading" w:uiPriority="9" w:qFormat="1"/>
    <w:lsdException w:name="caption" w:uiPriority="9" w:semiHidden="1" w:unhideWhenUsed="1" w:qFormat="1"/>
    <w:lsdException w:name="table of figures" w:uiPriority="9" w:qFormat="1"/>
    <w:lsdException w:name="envelope address" w:uiPriority="9" w:qFormat="1"/>
    <w:lsdException w:name="envelope return" w:uiPriority="9" w:qFormat="1"/>
    <w:lsdException w:name="footnote reference" w:uiPriority="9" w:qFormat="1"/>
    <w:lsdException w:name="annotation reference" w:uiPriority="9" w:qFormat="1"/>
    <w:lsdException w:name="line number" w:uiPriority="9" w:qFormat="1"/>
    <w:lsdException w:name="page number" w:uiPriority="9" w:qFormat="1"/>
    <w:lsdException w:name="endnote reference" w:uiPriority="9" w:qFormat="1"/>
    <w:lsdException w:name="endnote text" w:uiPriority="9" w:qFormat="1"/>
    <w:lsdException w:name="table of authorities" w:uiPriority="9" w:qFormat="1"/>
    <w:lsdException w:name="macro" w:uiPriority="9" w:qFormat="1"/>
    <w:lsdException w:name="toa heading" w:uiPriority="9" w:qFormat="1"/>
    <w:lsdException w:name="List" w:uiPriority="9" w:qFormat="1"/>
    <w:lsdException w:name="List Bullet" w:uiPriority="9" w:qFormat="1"/>
    <w:lsdException w:name="List Number" w:uiPriority="9" w:qFormat="1"/>
    <w:lsdException w:name="List 2" w:uiPriority="9" w:qFormat="1"/>
    <w:lsdException w:name="List 3" w:uiPriority="9" w:qFormat="1"/>
    <w:lsdException w:name="List 4" w:uiPriority="9" w:qFormat="1"/>
    <w:lsdException w:name="List 5" w:uiPriority="9" w:qFormat="1"/>
    <w:lsdException w:name="List Bullet 2" w:uiPriority="9" w:qFormat="1"/>
    <w:lsdException w:name="List Bullet 3" w:uiPriority="9" w:qFormat="1"/>
    <w:lsdException w:name="List Bullet 4" w:uiPriority="9" w:qFormat="1"/>
    <w:lsdException w:name="List Bullet 5" w:uiPriority="9" w:qFormat="1"/>
    <w:lsdException w:name="List Number 2" w:uiPriority="9" w:qFormat="1"/>
    <w:lsdException w:name="List Number 3" w:uiPriority="9" w:qFormat="1"/>
    <w:lsdException w:name="List Number 4" w:uiPriority="9" w:qFormat="1"/>
    <w:lsdException w:name="List Number 5" w:uiPriority="9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f30024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умерация строк"/>
    <w:basedOn w:val="DefaultParagraphFont"/>
    <w:rsid w:val="00f30024"/>
    <w:rPr/>
  </w:style>
  <w:style w:type="character" w:styleId="1" w:customStyle="1">
    <w:name w:val="Гиперссылка1"/>
    <w:qFormat/>
    <w:rsid w:val="00f30024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644111"/>
    <w:rPr>
      <w:rFonts w:ascii="Tahoma" w:hAnsi="Tahoma" w:cs="Tahoma"/>
      <w:sz w:val="16"/>
      <w:szCs w:val="16"/>
    </w:rPr>
  </w:style>
  <w:style w:type="character" w:styleId="Style16">
    <w:name w:val="Основной шрифт абзаца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644111"/>
    <w:pPr/>
    <w:rPr>
      <w:rFonts w:ascii="Tahoma" w:hAnsi="Tahoma" w:cs="Tahoma"/>
      <w:sz w:val="16"/>
      <w:szCs w:val="16"/>
    </w:rPr>
  </w:style>
  <w:style w:type="paragraph" w:styleId="21">
    <w:name w:val="Основной текст 21"/>
    <w:basedOn w:val="Normal"/>
    <w:qFormat/>
    <w:pPr>
      <w:jc w:val="both"/>
    </w:pPr>
    <w:rPr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Обычная таблица1"/>
    <w:rsid w:val="00f30024"/>
    <w:rPr>
      <w:sz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Простая таблица 11"/>
    <w:basedOn w:val="10"/>
    <w:rsid w:val="00f3002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LibreOffice/7.3.6.2$Windows_X86_64 LibreOffice_project/c28ca90fd6e1a19e189fc16c05f8f8924961e12e</Application>
  <AppVersion>15.0000</AppVersion>
  <Pages>5</Pages>
  <Words>845</Words>
  <Characters>6384</Characters>
  <CharactersWithSpaces>7249</CharactersWithSpaces>
  <Paragraphs>112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 APPPOOL\svodweb</dc:creator>
  <dc:description/>
  <dc:language>ru-RU</dc:language>
  <cp:lastModifiedBy/>
  <cp:lastPrinted>2025-11-11T16:24:09Z</cp:lastPrinted>
  <dcterms:modified xsi:type="dcterms:W3CDTF">2026-04-06T11:22:35Z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